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2-1203-2611</w:t>
      </w:r>
      <w:r>
        <w:rPr>
          <w:rFonts w:ascii="Times New Roman" w:eastAsia="Times New Roman" w:hAnsi="Times New Roman" w:cs="Times New Roman"/>
        </w:rPr>
        <w:t>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86MS0065-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«НБК» к </w:t>
      </w:r>
      <w:r>
        <w:rPr>
          <w:rFonts w:ascii="Times New Roman" w:eastAsia="Times New Roman" w:hAnsi="Times New Roman" w:cs="Times New Roman"/>
          <w:sz w:val="26"/>
          <w:szCs w:val="26"/>
        </w:rPr>
        <w:t>Мавринской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Ирине Викторовне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«НБК» к </w:t>
      </w:r>
      <w:r>
        <w:rPr>
          <w:rFonts w:ascii="Times New Roman" w:eastAsia="Times New Roman" w:hAnsi="Times New Roman" w:cs="Times New Roman"/>
          <w:sz w:val="26"/>
          <w:szCs w:val="26"/>
        </w:rPr>
        <w:t>Мавринской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Ирине Викторовне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авринской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«НБК»,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10.01.2024 № 9505065439-5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состоянию на 19.07.2024 в сумме 12 070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проценты за пользование чужими денежными средствами в соответствии со ст.395 ГК РФ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тавки Банка России от суммы 12 070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за каждый день просрочки с даты вынесения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уплаты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 рублей, по оплате юридических услуг в сумме 5 000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2-1203-2611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